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DLTV</w:t>
      </w:r>
      <w:r>
        <w:t xml:space="preserve"> </w:t>
      </w:r>
      <w:r>
        <w:t xml:space="preserve">ความเป็นมา</w:t>
      </w:r>
      <w:r>
        <w:t xml:space="preserve"> </w:t>
      </w:r>
      <w:r>
        <w:t xml:space="preserve">หลักการ</w:t>
      </w:r>
      <w:r>
        <w:t xml:space="preserve"> </w:t>
      </w:r>
      <w:r>
        <w:t xml:space="preserve">และประเภทของสหกรณ์กับการพัฒนาเศรษฐกิจไทย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DLTV ความเป็นมา หลักการ และประเภทของสหกรณ์กับการพัฒนาเศรษฐกิจไทย</dc:title>
  <dc:creator/>
  <cp:keywords/>
  <dcterms:created xsi:type="dcterms:W3CDTF">2021-03-23T09:20:04Z</dcterms:created>
  <dcterms:modified xsi:type="dcterms:W3CDTF">2021-03-23T09:20:04Z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กันยายน 2563 เวลา 09.11 น.</vt:lpwstr>
  </property>
  <property fmtid="{D5CDD505-2E9C-101B-9397-08002B2CF9AE}" pid="3" name="subtitle">
    <vt:lpwstr/>
  </property>
</Properties>
</file>